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852D" w14:textId="77777777" w:rsidR="00FB27A0" w:rsidRPr="004E33A7" w:rsidRDefault="00FB27A0" w:rsidP="00FB27A0">
      <w:pPr>
        <w:shd w:val="clear" w:color="auto" w:fill="FFFFFF"/>
        <w:spacing w:after="0" w:line="538" w:lineRule="atLeast"/>
        <w:jc w:val="center"/>
        <w:outlineLvl w:val="1"/>
        <w:rPr>
          <w:rFonts w:eastAsia="Times New Roman" w:cs="Times New Roman"/>
          <w:b/>
          <w:bCs/>
          <w:sz w:val="34"/>
          <w:szCs w:val="34"/>
          <w:lang w:eastAsia="ru-RU"/>
        </w:rPr>
      </w:pPr>
      <w:r w:rsidRPr="004E33A7">
        <w:rPr>
          <w:rFonts w:eastAsia="Times New Roman" w:cs="Times New Roman"/>
          <w:b/>
          <w:bCs/>
          <w:sz w:val="34"/>
          <w:szCs w:val="34"/>
          <w:lang w:eastAsia="ru-RU"/>
        </w:rPr>
        <w:t>Перечень категорий граждан, имеющих право внеочередного, первоочередного и преимущественного приема в первый класс</w:t>
      </w:r>
    </w:p>
    <w:p w14:paraId="4B6CDD0C" w14:textId="77777777" w:rsidR="00FB27A0" w:rsidRPr="004E33A7" w:rsidRDefault="00FB27A0" w:rsidP="00FB27A0">
      <w:pPr>
        <w:shd w:val="clear" w:color="auto" w:fill="FFFFFF"/>
        <w:spacing w:after="165"/>
        <w:jc w:val="center"/>
        <w:rPr>
          <w:rFonts w:eastAsia="Times New Roman" w:cs="Times New Roman"/>
          <w:sz w:val="21"/>
          <w:szCs w:val="21"/>
          <w:lang w:eastAsia="ru-RU"/>
        </w:rPr>
      </w:pPr>
      <w:r w:rsidRPr="004E33A7">
        <w:rPr>
          <w:rFonts w:eastAsia="Times New Roman" w:cs="Times New Roman"/>
          <w:b/>
          <w:bCs/>
          <w:sz w:val="21"/>
          <w:szCs w:val="21"/>
          <w:lang w:eastAsia="ru-RU"/>
        </w:rPr>
        <w:t xml:space="preserve">(из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4E33A7">
        <w:rPr>
          <w:rFonts w:eastAsia="Times New Roman" w:cs="Times New Roman"/>
          <w:b/>
          <w:bCs/>
          <w:sz w:val="21"/>
          <w:szCs w:val="21"/>
          <w:lang w:eastAsia="ru-RU"/>
        </w:rPr>
        <w:t>Минпросвещения</w:t>
      </w:r>
      <w:proofErr w:type="spellEnd"/>
      <w:r w:rsidRPr="004E33A7">
        <w:rPr>
          <w:rFonts w:eastAsia="Times New Roman" w:cs="Times New Roman"/>
          <w:b/>
          <w:bCs/>
          <w:sz w:val="21"/>
          <w:szCs w:val="21"/>
          <w:lang w:eastAsia="ru-RU"/>
        </w:rPr>
        <w:t xml:space="preserve"> России от 02.09.2020 № 458)</w:t>
      </w:r>
    </w:p>
    <w:p w14:paraId="2A68FD10"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i/>
          <w:iCs/>
          <w:sz w:val="21"/>
          <w:szCs w:val="21"/>
          <w:lang w:eastAsia="ru-RU"/>
        </w:rPr>
        <w:t>Федеральный закон от 02.07.2021 №310-ФЗ «О внесении изменений в статью 54 Семейного кодекса Российской Федерации и статьи 36 и 67 Федерального закона «Об образовании в Российской Федерации» (далее – Федеральный закон) закрепляет безусловное права ребенка на преимущественный прием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организацию, в которой обучаются его полнородные и неполнородные брат и (или) сестра. </w:t>
      </w:r>
    </w:p>
    <w:p w14:paraId="18C11147"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u w:val="single"/>
          <w:lang w:eastAsia="ru-RU"/>
        </w:rPr>
        <w:t>I. Во внеочередном порядке предоставляются места в общеобразовательных организациях, имеющих интернат:</w:t>
      </w:r>
    </w:p>
    <w:p w14:paraId="41C088B1" w14:textId="77777777" w:rsidR="00FB27A0" w:rsidRPr="004E33A7" w:rsidRDefault="00FB27A0" w:rsidP="00FB27A0">
      <w:pPr>
        <w:numPr>
          <w:ilvl w:val="0"/>
          <w:numId w:val="4"/>
        </w:numPr>
        <w:shd w:val="clear" w:color="auto" w:fill="FFFFFF"/>
        <w:spacing w:before="100" w:beforeAutospacing="1" w:after="100" w:afterAutospacing="1" w:line="360" w:lineRule="atLeast"/>
        <w:ind w:left="1095"/>
        <w:jc w:val="both"/>
        <w:rPr>
          <w:rFonts w:eastAsia="Times New Roman" w:cs="Times New Roman"/>
          <w:sz w:val="21"/>
          <w:szCs w:val="21"/>
          <w:lang w:eastAsia="ru-RU"/>
        </w:rPr>
      </w:pPr>
      <w:r w:rsidRPr="004E33A7">
        <w:rPr>
          <w:rFonts w:eastAsia="Times New Roman" w:cs="Times New Roman"/>
          <w:sz w:val="21"/>
          <w:szCs w:val="21"/>
          <w:lang w:eastAsia="ru-RU"/>
        </w:rPr>
        <w:t>детям прокуроров;</w:t>
      </w:r>
    </w:p>
    <w:p w14:paraId="1248B51C" w14:textId="77777777" w:rsidR="00FB27A0" w:rsidRPr="004E33A7" w:rsidRDefault="00FB27A0" w:rsidP="00FB27A0">
      <w:pPr>
        <w:numPr>
          <w:ilvl w:val="0"/>
          <w:numId w:val="4"/>
        </w:numPr>
        <w:shd w:val="clear" w:color="auto" w:fill="FFFFFF"/>
        <w:spacing w:before="100" w:beforeAutospacing="1" w:after="100" w:afterAutospacing="1" w:line="360" w:lineRule="atLeast"/>
        <w:ind w:left="1095"/>
        <w:jc w:val="both"/>
        <w:rPr>
          <w:rFonts w:eastAsia="Times New Roman" w:cs="Times New Roman"/>
          <w:sz w:val="21"/>
          <w:szCs w:val="21"/>
          <w:lang w:eastAsia="ru-RU"/>
        </w:rPr>
      </w:pPr>
      <w:r w:rsidRPr="004E33A7">
        <w:rPr>
          <w:rFonts w:eastAsia="Times New Roman" w:cs="Times New Roman"/>
          <w:sz w:val="21"/>
          <w:szCs w:val="21"/>
          <w:lang w:eastAsia="ru-RU"/>
        </w:rPr>
        <w:t>детям судей;</w:t>
      </w:r>
    </w:p>
    <w:p w14:paraId="0A58BF9A" w14:textId="77777777" w:rsidR="00FB27A0" w:rsidRPr="004E33A7" w:rsidRDefault="00FB27A0" w:rsidP="00FB27A0">
      <w:pPr>
        <w:numPr>
          <w:ilvl w:val="0"/>
          <w:numId w:val="4"/>
        </w:numPr>
        <w:shd w:val="clear" w:color="auto" w:fill="FFFFFF"/>
        <w:spacing w:before="100" w:beforeAutospacing="1" w:after="100" w:afterAutospacing="1" w:line="360" w:lineRule="atLeast"/>
        <w:ind w:left="1095"/>
        <w:jc w:val="both"/>
        <w:rPr>
          <w:rFonts w:eastAsia="Times New Roman" w:cs="Times New Roman"/>
          <w:sz w:val="21"/>
          <w:szCs w:val="21"/>
          <w:lang w:eastAsia="ru-RU"/>
        </w:rPr>
      </w:pPr>
      <w:r w:rsidRPr="004E33A7">
        <w:rPr>
          <w:rFonts w:eastAsia="Times New Roman" w:cs="Times New Roman"/>
          <w:sz w:val="21"/>
          <w:szCs w:val="21"/>
          <w:lang w:eastAsia="ru-RU"/>
        </w:rPr>
        <w:t>детям сотрудников Следственного комитета.</w:t>
      </w:r>
    </w:p>
    <w:p w14:paraId="09BB34EA"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u w:val="single"/>
          <w:lang w:eastAsia="ru-RU"/>
        </w:rPr>
        <w:t>II. 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14:paraId="6DE9B0CC"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u w:val="single"/>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14:paraId="3930805D"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1) сотрудника полиции;</w:t>
      </w:r>
    </w:p>
    <w:p w14:paraId="14B94C2D"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23AC0C67"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3) сотрудника полиции, умершего вследствие заболевания, полученного в период прохождения службы в полиции;</w:t>
      </w:r>
    </w:p>
    <w:p w14:paraId="1A648BC9"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1E53529F"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7D9564DE"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6) находящимся (находившимся) на иждивении сотрудника полиции, гражданина Российской Федерации, указанных в пунктах 1 – 5 настоящего абзаца.</w:t>
      </w:r>
    </w:p>
    <w:p w14:paraId="674B80F2"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7) детям сотрудников органов внутренних дел, не являющихся сотрудниками полиции;</w:t>
      </w:r>
    </w:p>
    <w:p w14:paraId="569EBE1F"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14:paraId="22F08EEB"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14:paraId="01A7972E"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lastRenderedPageBreak/>
        <w:t>10) детям сотрудника, умершего вследствие заболевания, полученного в период прохождения службы в учреждениях и органах;</w:t>
      </w:r>
    </w:p>
    <w:p w14:paraId="155F6FF8"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09572FAD"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70CCAFC3"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13) детям, находящимся (находившимся) на иждивении сотрудника, гражданина Российской Федерации, указанных в пунктах 8 — 12 настоящей части.</w:t>
      </w:r>
    </w:p>
    <w:p w14:paraId="777FBEF7" w14:textId="77777777" w:rsidR="00FB27A0" w:rsidRPr="004E33A7" w:rsidRDefault="00FB27A0" w:rsidP="00FB27A0">
      <w:pPr>
        <w:shd w:val="clear" w:color="auto" w:fill="FFFFFF"/>
        <w:spacing w:after="165"/>
        <w:jc w:val="both"/>
        <w:rPr>
          <w:rFonts w:eastAsia="Times New Roman" w:cs="Times New Roman"/>
          <w:sz w:val="21"/>
          <w:szCs w:val="21"/>
          <w:lang w:eastAsia="ru-RU"/>
        </w:rPr>
      </w:pPr>
      <w:r w:rsidRPr="004E33A7">
        <w:rPr>
          <w:rFonts w:eastAsia="Times New Roman" w:cs="Times New Roman"/>
          <w:sz w:val="21"/>
          <w:szCs w:val="21"/>
          <w:lang w:eastAsia="ru-RU"/>
        </w:rPr>
        <w:t>III.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7ACDFA58" w14:textId="77777777" w:rsidR="00FB27A0" w:rsidRPr="004E33A7" w:rsidRDefault="00FB27A0" w:rsidP="00FB27A0">
      <w:pPr>
        <w:shd w:val="clear" w:color="auto" w:fill="FFFFFF"/>
        <w:jc w:val="both"/>
        <w:rPr>
          <w:rFonts w:eastAsia="Times New Roman" w:cs="Times New Roman"/>
          <w:sz w:val="21"/>
          <w:szCs w:val="21"/>
          <w:lang w:eastAsia="ru-RU"/>
        </w:rPr>
      </w:pPr>
      <w:r w:rsidRPr="004E33A7">
        <w:rPr>
          <w:rFonts w:eastAsia="Times New Roman" w:cs="Times New Roman"/>
          <w:sz w:val="21"/>
          <w:szCs w:val="21"/>
          <w:lang w:eastAsia="ru-RU"/>
        </w:rPr>
        <w:t>IV.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4B85AC5" w14:textId="77777777" w:rsidR="00F12C76" w:rsidRPr="004E33A7" w:rsidRDefault="00F12C76" w:rsidP="006C0B77">
      <w:pPr>
        <w:spacing w:after="0"/>
        <w:ind w:firstLine="709"/>
        <w:jc w:val="both"/>
        <w:rPr>
          <w:rFonts w:cs="Times New Roman"/>
          <w:szCs w:val="28"/>
        </w:rPr>
      </w:pPr>
    </w:p>
    <w:sectPr w:rsidR="00F12C76" w:rsidRPr="004E33A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334"/>
    <w:multiLevelType w:val="hybridMultilevel"/>
    <w:tmpl w:val="3A1C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6D0F0F"/>
    <w:multiLevelType w:val="multilevel"/>
    <w:tmpl w:val="D20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45ABD"/>
    <w:multiLevelType w:val="hybridMultilevel"/>
    <w:tmpl w:val="7A56CA9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4472C6"/>
    <w:multiLevelType w:val="multilevel"/>
    <w:tmpl w:val="BF3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BE"/>
    <w:rsid w:val="004112B4"/>
    <w:rsid w:val="004E33A7"/>
    <w:rsid w:val="006C0B77"/>
    <w:rsid w:val="007E2EBE"/>
    <w:rsid w:val="008242FF"/>
    <w:rsid w:val="00870751"/>
    <w:rsid w:val="00922C48"/>
    <w:rsid w:val="00B915B7"/>
    <w:rsid w:val="00D4743D"/>
    <w:rsid w:val="00EA59DF"/>
    <w:rsid w:val="00ED195B"/>
    <w:rsid w:val="00EE4070"/>
    <w:rsid w:val="00F12C76"/>
    <w:rsid w:val="00FB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D3D2"/>
  <w15:chartTrackingRefBased/>
  <w15:docId w15:val="{79FBEEA4-D30E-42BF-82F8-FFEA8475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8835">
      <w:bodyDiv w:val="1"/>
      <w:marLeft w:val="0"/>
      <w:marRight w:val="0"/>
      <w:marTop w:val="0"/>
      <w:marBottom w:val="0"/>
      <w:divBdr>
        <w:top w:val="none" w:sz="0" w:space="0" w:color="auto"/>
        <w:left w:val="none" w:sz="0" w:space="0" w:color="auto"/>
        <w:bottom w:val="none" w:sz="0" w:space="0" w:color="auto"/>
        <w:right w:val="none" w:sz="0" w:space="0" w:color="auto"/>
      </w:divBdr>
    </w:div>
    <w:div w:id="1310478405">
      <w:bodyDiv w:val="1"/>
      <w:marLeft w:val="0"/>
      <w:marRight w:val="0"/>
      <w:marTop w:val="0"/>
      <w:marBottom w:val="0"/>
      <w:divBdr>
        <w:top w:val="none" w:sz="0" w:space="0" w:color="auto"/>
        <w:left w:val="none" w:sz="0" w:space="0" w:color="auto"/>
        <w:bottom w:val="none" w:sz="0" w:space="0" w:color="auto"/>
        <w:right w:val="none" w:sz="0" w:space="0" w:color="auto"/>
      </w:divBdr>
      <w:divsChild>
        <w:div w:id="1376737151">
          <w:marLeft w:val="0"/>
          <w:marRight w:val="0"/>
          <w:marTop w:val="0"/>
          <w:marBottom w:val="0"/>
          <w:divBdr>
            <w:top w:val="none" w:sz="0" w:space="0" w:color="auto"/>
            <w:left w:val="none" w:sz="0" w:space="0" w:color="auto"/>
            <w:bottom w:val="none" w:sz="0" w:space="0" w:color="auto"/>
            <w:right w:val="none" w:sz="0" w:space="0" w:color="auto"/>
          </w:divBdr>
        </w:div>
        <w:div w:id="449593988">
          <w:marLeft w:val="0"/>
          <w:marRight w:val="0"/>
          <w:marTop w:val="0"/>
          <w:marBottom w:val="0"/>
          <w:divBdr>
            <w:top w:val="none" w:sz="0" w:space="0" w:color="auto"/>
            <w:left w:val="none" w:sz="0" w:space="0" w:color="auto"/>
            <w:bottom w:val="none" w:sz="0" w:space="0" w:color="auto"/>
            <w:right w:val="none" w:sz="0" w:space="0" w:color="auto"/>
          </w:divBdr>
          <w:divsChild>
            <w:div w:id="1343731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2022-02-18T11:27:00Z</dcterms:created>
  <dcterms:modified xsi:type="dcterms:W3CDTF">2022-02-18T13:36:00Z</dcterms:modified>
</cp:coreProperties>
</file>